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00"/>
        <w:gridCol w:w="12"/>
        <w:gridCol w:w="1677"/>
        <w:gridCol w:w="782"/>
        <w:gridCol w:w="43"/>
        <w:gridCol w:w="888"/>
        <w:gridCol w:w="344"/>
        <w:gridCol w:w="968"/>
        <w:gridCol w:w="88"/>
        <w:gridCol w:w="726"/>
        <w:gridCol w:w="518"/>
        <w:gridCol w:w="188"/>
        <w:gridCol w:w="712"/>
        <w:gridCol w:w="618"/>
      </w:tblGrid>
      <w:tr w:rsidR="001C0A05" w:rsidRPr="00AB4376" w:rsidTr="00DE13CC">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1C0A05" w:rsidRPr="00AB4376" w:rsidRDefault="001C0A05" w:rsidP="00DE13CC">
            <w:pPr>
              <w:spacing w:before="60" w:after="60" w:line="240" w:lineRule="auto"/>
              <w:ind w:left="397" w:hanging="397"/>
              <w:jc w:val="center"/>
              <w:rPr>
                <w:rFonts w:ascii="Arial" w:hAnsi="Arial" w:cs="Arial"/>
                <w:b/>
                <w:sz w:val="20"/>
                <w:szCs w:val="20"/>
              </w:rPr>
            </w:pPr>
            <w:r w:rsidRPr="00AB4376">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1C0A05" w:rsidRPr="00AB4376" w:rsidRDefault="001C0A05" w:rsidP="00DE13CC">
            <w:pPr>
              <w:spacing w:before="60" w:after="60" w:line="240" w:lineRule="auto"/>
              <w:ind w:left="397" w:hanging="397"/>
              <w:rPr>
                <w:rFonts w:ascii="Arial" w:hAnsi="Arial" w:cs="Arial"/>
                <w:b/>
                <w:sz w:val="20"/>
                <w:szCs w:val="20"/>
              </w:rPr>
            </w:pPr>
            <w:r w:rsidRPr="00AB4376">
              <w:rPr>
                <w:rFonts w:ascii="Arial" w:hAnsi="Arial" w:cs="Arial"/>
                <w:b/>
                <w:sz w:val="20"/>
                <w:szCs w:val="20"/>
              </w:rPr>
              <w:t>Bankovni menadžment</w:t>
            </w:r>
          </w:p>
        </w:tc>
      </w:tr>
      <w:tr w:rsidR="001C0A05" w:rsidRPr="00AB4376" w:rsidTr="00DE13CC">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Style w:val="Strong"/>
                <w:rFonts w:ascii="Arial" w:hAnsi="Arial" w:cs="Arial"/>
                <w:b w:val="0"/>
                <w:sz w:val="20"/>
                <w:szCs w:val="20"/>
              </w:rPr>
            </w:pPr>
            <w:r w:rsidRPr="00AB4376">
              <w:rPr>
                <w:rStyle w:val="Strong"/>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EUB412</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2</w:t>
            </w: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Style w:val="Strong"/>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Default="001C0A05" w:rsidP="00DE13CC">
            <w:pPr>
              <w:spacing w:after="0" w:line="240" w:lineRule="auto"/>
              <w:rPr>
                <w:rFonts w:ascii="Arial" w:hAnsi="Arial" w:cs="Arial"/>
                <w:sz w:val="20"/>
                <w:szCs w:val="20"/>
              </w:rPr>
            </w:pPr>
            <w:r w:rsidRPr="00AB4376">
              <w:rPr>
                <w:rFonts w:ascii="Arial" w:hAnsi="Arial" w:cs="Arial"/>
                <w:sz w:val="20"/>
                <w:szCs w:val="20"/>
              </w:rPr>
              <w:t xml:space="preserve">Doc. dr. </w:t>
            </w:r>
            <w:proofErr w:type="spellStart"/>
            <w:r w:rsidRPr="00AB4376">
              <w:rPr>
                <w:rFonts w:ascii="Arial" w:hAnsi="Arial" w:cs="Arial"/>
                <w:sz w:val="20"/>
                <w:szCs w:val="20"/>
              </w:rPr>
              <w:t>sc</w:t>
            </w:r>
            <w:proofErr w:type="spellEnd"/>
            <w:r w:rsidRPr="00AB4376">
              <w:rPr>
                <w:rFonts w:ascii="Arial" w:hAnsi="Arial" w:cs="Arial"/>
                <w:sz w:val="20"/>
                <w:szCs w:val="20"/>
              </w:rPr>
              <w:t>. Ana Kundid</w:t>
            </w:r>
            <w:r>
              <w:rPr>
                <w:rFonts w:ascii="Arial" w:hAnsi="Arial" w:cs="Arial"/>
                <w:sz w:val="20"/>
                <w:szCs w:val="20"/>
              </w:rPr>
              <w:t xml:space="preserve"> </w:t>
            </w:r>
            <w:proofErr w:type="spellStart"/>
            <w:r>
              <w:rPr>
                <w:rFonts w:ascii="Arial" w:hAnsi="Arial" w:cs="Arial"/>
                <w:sz w:val="20"/>
                <w:szCs w:val="20"/>
              </w:rPr>
              <w:t>Novokmet</w:t>
            </w:r>
            <w:proofErr w:type="spellEnd"/>
            <w:r w:rsidRPr="00AB4376">
              <w:rPr>
                <w:rFonts w:ascii="Arial" w:hAnsi="Arial" w:cs="Arial"/>
                <w:sz w:val="20"/>
                <w:szCs w:val="20"/>
              </w:rPr>
              <w:t xml:space="preserve">, </w:t>
            </w:r>
          </w:p>
          <w:p w:rsidR="001C0A05" w:rsidRPr="00AB4376" w:rsidRDefault="00381DCA" w:rsidP="00DE13CC">
            <w:pPr>
              <w:spacing w:after="0" w:line="240" w:lineRule="auto"/>
              <w:rPr>
                <w:rFonts w:ascii="Arial" w:hAnsi="Arial" w:cs="Arial"/>
                <w:sz w:val="20"/>
                <w:szCs w:val="20"/>
              </w:rPr>
            </w:pPr>
            <w:bookmarkStart w:id="0" w:name="_GoBack"/>
            <w:r w:rsidRPr="00F940A6">
              <w:rPr>
                <w:rFonts w:ascii="Arial" w:hAnsi="Arial" w:cs="Arial"/>
                <w:color w:val="FF0000"/>
                <w:sz w:val="20"/>
                <w:szCs w:val="20"/>
              </w:rPr>
              <w:t xml:space="preserve">Prof. dr. </w:t>
            </w:r>
            <w:proofErr w:type="spellStart"/>
            <w:r w:rsidRPr="00F940A6">
              <w:rPr>
                <w:rFonts w:ascii="Arial" w:hAnsi="Arial" w:cs="Arial"/>
                <w:color w:val="FF0000"/>
                <w:sz w:val="20"/>
                <w:szCs w:val="20"/>
              </w:rPr>
              <w:t>sc</w:t>
            </w:r>
            <w:proofErr w:type="spellEnd"/>
            <w:r w:rsidRPr="00F940A6">
              <w:rPr>
                <w:rFonts w:ascii="Arial" w:hAnsi="Arial" w:cs="Arial"/>
                <w:color w:val="FF0000"/>
                <w:sz w:val="20"/>
                <w:szCs w:val="20"/>
              </w:rPr>
              <w:t>. Marijana Ćurak</w:t>
            </w:r>
            <w:bookmarkEnd w:id="0"/>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5</w:t>
            </w:r>
          </w:p>
        </w:tc>
      </w:tr>
      <w:tr w:rsidR="001C0A05" w:rsidRPr="00AB4376" w:rsidTr="00DE13CC">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S</w:t>
            </w:r>
          </w:p>
        </w:tc>
        <w:tc>
          <w:tcPr>
            <w:tcW w:w="712" w:type="dxa"/>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V</w:t>
            </w:r>
          </w:p>
        </w:tc>
        <w:tc>
          <w:tcPr>
            <w:tcW w:w="618" w:type="dxa"/>
            <w:tcBorders>
              <w:bottom w:val="single" w:sz="12" w:space="0" w:color="auto"/>
              <w:right w:val="single" w:sz="12"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w:t>
            </w:r>
          </w:p>
        </w:tc>
      </w:tr>
      <w:tr w:rsidR="001C0A05" w:rsidRPr="00AB4376" w:rsidTr="00DE13CC">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30</w:t>
            </w:r>
          </w:p>
        </w:tc>
        <w:tc>
          <w:tcPr>
            <w:tcW w:w="618" w:type="dxa"/>
            <w:tcBorders>
              <w:bottom w:val="single" w:sz="12" w:space="0" w:color="auto"/>
              <w:right w:val="single" w:sz="12" w:space="0" w:color="auto"/>
            </w:tcBorders>
            <w:vAlign w:val="center"/>
          </w:tcPr>
          <w:p w:rsidR="001C0A05" w:rsidRPr="00AB4376" w:rsidRDefault="001C0A05" w:rsidP="00DE13CC">
            <w:pPr>
              <w:spacing w:after="0" w:line="240" w:lineRule="auto"/>
              <w:rPr>
                <w:rFonts w:ascii="Arial" w:hAnsi="Arial" w:cs="Arial"/>
                <w:sz w:val="20"/>
                <w:szCs w:val="20"/>
              </w:rPr>
            </w:pP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Obvezni</w:t>
            </w:r>
            <w:r>
              <w:rPr>
                <w:rFonts w:ascii="Arial" w:hAnsi="Arial" w:cs="Arial"/>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0</w:t>
            </w:r>
          </w:p>
        </w:tc>
      </w:tr>
      <w:tr w:rsidR="001C0A05" w:rsidRPr="00AB4376" w:rsidTr="00DE13CC">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OPIS PREDMETA</w:t>
            </w:r>
          </w:p>
        </w:tc>
      </w:tr>
      <w:tr w:rsidR="001C0A0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Osposobiti studente za valorizaciju financijske uspješnosti banke, mjerenje i procjenjivanje izloženosti banke pojedinim vrstama rizika, iznošenje preporuka vezanih uz izbor bankovne strategije te utvrđivanje načina prilagodbe banaka pojedinim regulatornim mjerama.</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Preduvjeti za upis kolegija propisani su Statutom Ekonomskog fakulteta te Pravilnikom o studiju i studiranju. </w:t>
            </w:r>
          </w:p>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 „Burze i vrijednosnice“).</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Ishod učenja predmeta:</w:t>
            </w:r>
          </w:p>
          <w:p w:rsidR="001C0A05" w:rsidRPr="00AB4376" w:rsidRDefault="001C0A05" w:rsidP="00DE13CC">
            <w:pPr>
              <w:spacing w:after="0" w:line="240" w:lineRule="auto"/>
              <w:ind w:left="720"/>
              <w:rPr>
                <w:rFonts w:ascii="Arial" w:hAnsi="Arial" w:cs="Arial"/>
                <w:sz w:val="20"/>
                <w:szCs w:val="20"/>
              </w:rPr>
            </w:pPr>
            <w:r w:rsidRPr="00AB4376">
              <w:rPr>
                <w:rFonts w:ascii="Arial" w:hAnsi="Arial" w:cs="Arial"/>
                <w:sz w:val="20"/>
                <w:szCs w:val="20"/>
              </w:rPr>
              <w:t>Zaključiti o uspješnosti poslovanja pojedine banke, njenim snagama, slabostima, prilikama i prijetnjama s ciljem iznošenja preporuka o izboru bankovne strategije u kontekstu regulatornih propisivanja (razina ishoda učenja prema Zakonu o HKO –7.).</w:t>
            </w:r>
          </w:p>
          <w:p w:rsidR="001C0A05" w:rsidRPr="00AB4376" w:rsidRDefault="001C0A05" w:rsidP="00DE13CC">
            <w:pPr>
              <w:spacing w:after="0" w:line="240" w:lineRule="auto"/>
              <w:ind w:left="360"/>
              <w:rPr>
                <w:rFonts w:ascii="Arial" w:hAnsi="Arial" w:cs="Arial"/>
                <w:sz w:val="20"/>
                <w:szCs w:val="20"/>
              </w:rPr>
            </w:pPr>
          </w:p>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Pojedinačni ishodi učenja:</w:t>
            </w:r>
          </w:p>
          <w:p w:rsidR="001C0A05" w:rsidRPr="00AB4376" w:rsidRDefault="001C0A05" w:rsidP="001C0A05">
            <w:pPr>
              <w:numPr>
                <w:ilvl w:val="0"/>
                <w:numId w:val="6"/>
              </w:numPr>
              <w:spacing w:after="0" w:line="240" w:lineRule="auto"/>
              <w:ind w:left="714" w:hanging="357"/>
              <w:rPr>
                <w:rFonts w:ascii="Arial" w:hAnsi="Arial" w:cs="Arial"/>
                <w:sz w:val="20"/>
                <w:szCs w:val="20"/>
              </w:rPr>
            </w:pPr>
            <w:r w:rsidRPr="00AB4376">
              <w:rPr>
                <w:rFonts w:ascii="Arial" w:hAnsi="Arial" w:cs="Arial"/>
                <w:sz w:val="20"/>
                <w:szCs w:val="20"/>
              </w:rPr>
              <w:t>Klasificirati i usporediti koncepcije bankarstva prema različitim kriterijima (6. / 7. razina).</w:t>
            </w:r>
          </w:p>
          <w:p w:rsidR="001C0A05" w:rsidRPr="00AB4376" w:rsidRDefault="001C0A05" w:rsidP="001C0A05">
            <w:pPr>
              <w:numPr>
                <w:ilvl w:val="0"/>
                <w:numId w:val="6"/>
              </w:numPr>
              <w:spacing w:after="0" w:line="240" w:lineRule="auto"/>
              <w:ind w:left="714" w:hanging="357"/>
              <w:rPr>
                <w:rFonts w:ascii="Arial" w:hAnsi="Arial" w:cs="Arial"/>
                <w:sz w:val="20"/>
                <w:szCs w:val="20"/>
              </w:rPr>
            </w:pPr>
            <w:r w:rsidRPr="00AB4376">
              <w:rPr>
                <w:rFonts w:ascii="Arial" w:hAnsi="Arial" w:cs="Arial"/>
                <w:sz w:val="20"/>
                <w:szCs w:val="20"/>
              </w:rPr>
              <w:t>Ocijeniti i valorizirati uspješnost bankovnog poslovanja temeljem financijskih indikatora te usporediti s bankama sličnih obilježja (7. razina).</w:t>
            </w:r>
          </w:p>
          <w:p w:rsidR="001C0A05" w:rsidRPr="00AB4376" w:rsidRDefault="001C0A05" w:rsidP="001C0A05">
            <w:pPr>
              <w:numPr>
                <w:ilvl w:val="0"/>
                <w:numId w:val="6"/>
              </w:numPr>
              <w:tabs>
                <w:tab w:val="left" w:pos="2820"/>
              </w:tabs>
              <w:spacing w:after="0" w:line="240" w:lineRule="auto"/>
              <w:ind w:left="714" w:hanging="357"/>
              <w:rPr>
                <w:rFonts w:ascii="Arial" w:hAnsi="Arial" w:cs="Arial"/>
                <w:sz w:val="20"/>
                <w:szCs w:val="20"/>
              </w:rPr>
            </w:pPr>
            <w:r w:rsidRPr="00AB4376">
              <w:rPr>
                <w:rFonts w:ascii="Arial" w:hAnsi="Arial" w:cs="Arial"/>
                <w:sz w:val="20"/>
                <w:szCs w:val="20"/>
              </w:rPr>
              <w:t xml:space="preserve">Izmjeriti i procijeniti izloženost banaka pojedinim vrstama rizika (7. razina). </w:t>
            </w:r>
          </w:p>
          <w:p w:rsidR="001C0A05" w:rsidRPr="00AB4376" w:rsidRDefault="001C0A05" w:rsidP="001C0A05">
            <w:pPr>
              <w:numPr>
                <w:ilvl w:val="0"/>
                <w:numId w:val="6"/>
              </w:numPr>
              <w:tabs>
                <w:tab w:val="left" w:pos="2820"/>
              </w:tabs>
              <w:spacing w:after="0" w:line="240" w:lineRule="auto"/>
              <w:ind w:left="714" w:hanging="357"/>
              <w:rPr>
                <w:rFonts w:ascii="Arial" w:hAnsi="Arial" w:cs="Arial"/>
                <w:sz w:val="20"/>
                <w:szCs w:val="20"/>
              </w:rPr>
            </w:pPr>
            <w:r w:rsidRPr="00AB4376">
              <w:rPr>
                <w:rFonts w:ascii="Arial" w:hAnsi="Arial" w:cs="Arial"/>
                <w:sz w:val="20"/>
                <w:szCs w:val="20"/>
              </w:rPr>
              <w:t xml:space="preserve">Izabrati opciju između dostupnih bankovnih strategija (7. razina). </w:t>
            </w:r>
          </w:p>
          <w:p w:rsidR="001C0A05" w:rsidRPr="00AB4376" w:rsidRDefault="001C0A05" w:rsidP="001C0A05">
            <w:pPr>
              <w:numPr>
                <w:ilvl w:val="0"/>
                <w:numId w:val="6"/>
              </w:numPr>
              <w:tabs>
                <w:tab w:val="left" w:pos="2820"/>
              </w:tabs>
              <w:spacing w:after="0" w:line="240" w:lineRule="auto"/>
              <w:ind w:left="714" w:hanging="357"/>
              <w:rPr>
                <w:rFonts w:ascii="Arial" w:hAnsi="Arial" w:cs="Arial"/>
                <w:sz w:val="20"/>
                <w:szCs w:val="20"/>
              </w:rPr>
            </w:pPr>
            <w:r w:rsidRPr="00AB4376">
              <w:rPr>
                <w:rFonts w:ascii="Arial" w:hAnsi="Arial" w:cs="Arial"/>
                <w:sz w:val="20"/>
                <w:szCs w:val="20"/>
              </w:rPr>
              <w:t>Utvrditi koristi i troškove banaka od primjene pojedinih regulatornih mjera te preporučiti modalitet prilagodbe banaka pojedinim regulatornim opterećenjima (7. razina).</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7"/>
              <w:gridCol w:w="2946"/>
              <w:gridCol w:w="472"/>
              <w:gridCol w:w="3009"/>
              <w:gridCol w:w="471"/>
            </w:tblGrid>
            <w:tr w:rsidR="001C0A05" w:rsidRPr="00AB4376" w:rsidTr="00DE13CC">
              <w:tc>
                <w:tcPr>
                  <w:tcW w:w="422" w:type="dxa"/>
                  <w:vMerge w:val="restart"/>
                  <w:tcBorders>
                    <w:top w:val="single" w:sz="18" w:space="0" w:color="auto"/>
                    <w:left w:val="single" w:sz="18" w:space="0" w:color="auto"/>
                    <w:right w:val="single" w:sz="18" w:space="0" w:color="auto"/>
                  </w:tcBorders>
                  <w:textDirection w:val="btLr"/>
                  <w:vAlign w:val="center"/>
                </w:tcPr>
                <w:p w:rsidR="001C0A05" w:rsidRPr="00AB4376" w:rsidRDefault="001C0A05" w:rsidP="00DE13CC">
                  <w:pPr>
                    <w:spacing w:after="0" w:line="240" w:lineRule="auto"/>
                    <w:ind w:left="113" w:right="113"/>
                    <w:jc w:val="center"/>
                    <w:rPr>
                      <w:rFonts w:ascii="Arial" w:hAnsi="Arial" w:cs="Arial"/>
                      <w:sz w:val="20"/>
                      <w:szCs w:val="20"/>
                    </w:rPr>
                  </w:pPr>
                  <w:r w:rsidRPr="00AB4376">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Vježbe</w:t>
                  </w:r>
                </w:p>
              </w:tc>
            </w:tr>
            <w:tr w:rsidR="001C0A05" w:rsidRPr="00AB4376" w:rsidTr="00DE13CC">
              <w:trPr>
                <w:cantSplit/>
                <w:trHeight w:val="699"/>
              </w:trPr>
              <w:tc>
                <w:tcPr>
                  <w:tcW w:w="422" w:type="dxa"/>
                  <w:vMerge/>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p>
              </w:tc>
              <w:tc>
                <w:tcPr>
                  <w:tcW w:w="2507" w:type="dxa"/>
                  <w:tcBorders>
                    <w:lef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Tema</w:t>
                  </w:r>
                </w:p>
              </w:tc>
              <w:tc>
                <w:tcPr>
                  <w:tcW w:w="402" w:type="dxa"/>
                  <w:tcBorders>
                    <w:right w:val="single" w:sz="18" w:space="0" w:color="auto"/>
                  </w:tcBorders>
                  <w:vAlign w:val="center"/>
                </w:tcPr>
                <w:p w:rsidR="001C0A05" w:rsidRPr="00AB4376" w:rsidRDefault="001C0A05" w:rsidP="00DE13CC">
                  <w:pPr>
                    <w:spacing w:after="0" w:line="240" w:lineRule="auto"/>
                    <w:ind w:left="-108" w:right="-108"/>
                    <w:jc w:val="center"/>
                    <w:rPr>
                      <w:rFonts w:ascii="Arial" w:hAnsi="Arial" w:cs="Arial"/>
                      <w:sz w:val="20"/>
                      <w:szCs w:val="20"/>
                    </w:rPr>
                  </w:pPr>
                  <w:r w:rsidRPr="00AB4376">
                    <w:rPr>
                      <w:rFonts w:ascii="Arial" w:hAnsi="Arial" w:cs="Arial"/>
                      <w:sz w:val="20"/>
                      <w:szCs w:val="20"/>
                    </w:rPr>
                    <w:t xml:space="preserve">Sati </w:t>
                  </w:r>
                </w:p>
              </w:tc>
              <w:tc>
                <w:tcPr>
                  <w:tcW w:w="2561" w:type="dxa"/>
                  <w:tcBorders>
                    <w:lef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Tema</w:t>
                  </w:r>
                </w:p>
              </w:tc>
              <w:tc>
                <w:tcPr>
                  <w:tcW w:w="401" w:type="dxa"/>
                  <w:tcBorders>
                    <w:right w:val="single" w:sz="18" w:space="0" w:color="auto"/>
                  </w:tcBorders>
                  <w:vAlign w:val="center"/>
                </w:tcPr>
                <w:p w:rsidR="001C0A05" w:rsidRPr="00AB4376" w:rsidRDefault="001C0A05" w:rsidP="00DE13CC">
                  <w:pPr>
                    <w:ind w:left="-108" w:right="-69"/>
                    <w:jc w:val="center"/>
                    <w:rPr>
                      <w:rFonts w:ascii="Arial" w:hAnsi="Arial" w:cs="Arial"/>
                      <w:sz w:val="16"/>
                      <w:szCs w:val="16"/>
                    </w:rPr>
                  </w:pPr>
                  <w:r w:rsidRPr="00AB4376">
                    <w:rPr>
                      <w:rFonts w:ascii="Arial" w:hAnsi="Arial" w:cs="Arial"/>
                      <w:sz w:val="16"/>
                      <w:szCs w:val="16"/>
                    </w:rPr>
                    <w:t xml:space="preserve">Sati </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Koncepti bankarstva. Izbor strategije upravljanja bankom.</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Informiranje o načinu rada.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Bilanca banke. Račun dobiti i gubitka banke. Vrednovanje uspjeha banaka. </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Analiza bankovnog okruženja. Uloga regulacije u evoluciji bankovnog posredništva.  </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3</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Osnove teorije financijskog posredništva. </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izračuna pokazatelja profitabilnosti banke.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4</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kreditnim rizikom (I): identifikacija i mjerenje rizika.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Vrste bankovnih rizika. Opća načela upravljanja bankovnim rizicima. Primjeri identifikacije rizika i mjera upravljanja rizicima.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lastRenderedPageBreak/>
                    <w:t>5</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kreditnim rizikom (II): strategije upravljanja, nadgledanje i kontrola.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Odobravanje kredita poduzećima i stanovništvu. Odrednice cijene kredita. Primjeri izračuna cijene kredita i analize profitabilnosti komitenta.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6</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proofErr w:type="spellStart"/>
                  <w:r w:rsidRPr="00AB4376">
                    <w:rPr>
                      <w:rFonts w:ascii="Arial" w:hAnsi="Arial" w:cs="Arial"/>
                      <w:sz w:val="20"/>
                      <w:szCs w:val="20"/>
                    </w:rPr>
                    <w:t>Sekuritizacija</w:t>
                  </w:r>
                  <w:proofErr w:type="spellEnd"/>
                  <w:r w:rsidRPr="00AB4376">
                    <w:rPr>
                      <w:rFonts w:ascii="Arial" w:hAnsi="Arial" w:cs="Arial"/>
                      <w:sz w:val="20"/>
                      <w:szCs w:val="20"/>
                    </w:rPr>
                    <w:t xml:space="preserve"> i prodaja kredita.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Utvrđivanje kvalitete kredita i politike rezervacija. Primjeri restriktivnih odredbi.</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7</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depozitima.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Kreditne izvedenice.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8</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Upravljanje </w:t>
                  </w:r>
                  <w:proofErr w:type="spellStart"/>
                  <w:r w:rsidRPr="00AB4376">
                    <w:rPr>
                      <w:rFonts w:ascii="Arial" w:hAnsi="Arial" w:cs="Arial"/>
                      <w:sz w:val="20"/>
                      <w:szCs w:val="20"/>
                    </w:rPr>
                    <w:t>nedepozitnim</w:t>
                  </w:r>
                  <w:proofErr w:type="spellEnd"/>
                  <w:r w:rsidRPr="00AB4376">
                    <w:rPr>
                      <w:rFonts w:ascii="Arial" w:hAnsi="Arial" w:cs="Arial"/>
                      <w:sz w:val="20"/>
                      <w:szCs w:val="20"/>
                    </w:rPr>
                    <w:t xml:space="preserve"> izvorima.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Osiguranje depozita.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9</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rizikom kamatnih stopa. Vrste kamatnih stopa.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 izračuna troškova financiranja banke.</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10</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Upravljanje likvidnošću banke.</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 xml:space="preserve">Primjeri izračuna izloženosti kamatnom riziku i strategija upravljanja. </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11</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Valutni rizik. Operativni rizici banaka.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mjerenja likvidnosti i tehnika upravljanja.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12</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Regulacija bankovnog poslovanja kroz kapitalne zahtjeve.</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Načini prilagodbe banaka standardima adekvatnosti kapitala.</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13</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Bankarske krize. Upravljanje stabilnošću bankarskog sektora.</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Primjeri kriza u RH, EU i SAD.</w:t>
                  </w:r>
                </w:p>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Kriza hipotekarnih kredita u SAD-u.</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14</w:t>
                  </w:r>
                </w:p>
              </w:tc>
              <w:tc>
                <w:tcPr>
                  <w:tcW w:w="2507"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Konkurencija u bankarstvu.</w:t>
                  </w:r>
                </w:p>
              </w:tc>
              <w:tc>
                <w:tcPr>
                  <w:tcW w:w="402" w:type="dxa"/>
                  <w:tcBorders>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tcBorders>
                  <w:vAlign w:val="center"/>
                </w:tcPr>
                <w:p w:rsidR="001C0A05" w:rsidRPr="00AB4376" w:rsidRDefault="001C0A05" w:rsidP="00DE13CC">
                  <w:pPr>
                    <w:spacing w:after="0" w:line="240" w:lineRule="auto"/>
                    <w:rPr>
                      <w:rFonts w:ascii="Arial" w:hAnsi="Arial" w:cs="Arial"/>
                      <w:sz w:val="20"/>
                      <w:szCs w:val="20"/>
                      <w:lang w:val="it-IT"/>
                    </w:rPr>
                  </w:pPr>
                  <w:r w:rsidRPr="00AB4376">
                    <w:rPr>
                      <w:rFonts w:ascii="Arial" w:hAnsi="Arial" w:cs="Arial"/>
                      <w:sz w:val="20"/>
                      <w:szCs w:val="20"/>
                    </w:rPr>
                    <w:t>Posebnosti malih banaka: primjer RH. Determinante uspješnosti banaka: primjer RH.</w:t>
                  </w:r>
                </w:p>
              </w:tc>
              <w:tc>
                <w:tcPr>
                  <w:tcW w:w="401" w:type="dxa"/>
                  <w:tcBorders>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r w:rsidR="001C0A05" w:rsidRPr="00AB4376" w:rsidTr="00DE13CC">
              <w:trPr>
                <w:cantSplit/>
              </w:trPr>
              <w:tc>
                <w:tcPr>
                  <w:tcW w:w="422" w:type="dxa"/>
                  <w:tcBorders>
                    <w:left w:val="single" w:sz="18" w:space="0" w:color="auto"/>
                    <w:bottom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15</w:t>
                  </w:r>
                </w:p>
              </w:tc>
              <w:tc>
                <w:tcPr>
                  <w:tcW w:w="2507" w:type="dxa"/>
                  <w:tcBorders>
                    <w:left w:val="single" w:sz="18" w:space="0" w:color="auto"/>
                    <w:bottom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Regulacija i supervizija bankarskog sektora – eksterni nadzor. Pravila i procedure u bankama – interni nadzor.</w:t>
                  </w:r>
                </w:p>
              </w:tc>
              <w:tc>
                <w:tcPr>
                  <w:tcW w:w="402" w:type="dxa"/>
                  <w:tcBorders>
                    <w:bottom w:val="single" w:sz="18" w:space="0" w:color="auto"/>
                    <w:right w:val="single" w:sz="18" w:space="0" w:color="auto"/>
                  </w:tcBorders>
                  <w:vAlign w:val="center"/>
                </w:tcPr>
                <w:p w:rsidR="001C0A05" w:rsidRPr="00AB4376" w:rsidRDefault="001C0A05" w:rsidP="00DE13CC">
                  <w:pPr>
                    <w:spacing w:after="0" w:line="240" w:lineRule="auto"/>
                    <w:jc w:val="center"/>
                    <w:rPr>
                      <w:rFonts w:ascii="Arial" w:hAnsi="Arial" w:cs="Arial"/>
                      <w:sz w:val="20"/>
                      <w:szCs w:val="20"/>
                    </w:rPr>
                  </w:pPr>
                  <w:r w:rsidRPr="00AB4376">
                    <w:rPr>
                      <w:rFonts w:ascii="Arial" w:hAnsi="Arial" w:cs="Arial"/>
                      <w:sz w:val="20"/>
                      <w:szCs w:val="20"/>
                    </w:rPr>
                    <w:t>2</w:t>
                  </w:r>
                </w:p>
              </w:tc>
              <w:tc>
                <w:tcPr>
                  <w:tcW w:w="2561" w:type="dxa"/>
                  <w:tcBorders>
                    <w:left w:val="single" w:sz="18" w:space="0" w:color="auto"/>
                    <w:bottom w:val="single" w:sz="18" w:space="0" w:color="auto"/>
                  </w:tcBorders>
                  <w:vAlign w:val="center"/>
                </w:tcPr>
                <w:p w:rsidR="001C0A05" w:rsidRPr="00AB4376" w:rsidRDefault="001C0A05" w:rsidP="00DE13CC">
                  <w:pPr>
                    <w:spacing w:after="0" w:line="240" w:lineRule="auto"/>
                    <w:rPr>
                      <w:rFonts w:ascii="Arial" w:hAnsi="Arial" w:cs="Arial"/>
                      <w:sz w:val="20"/>
                      <w:szCs w:val="20"/>
                    </w:rPr>
                  </w:pPr>
                  <w:r w:rsidRPr="00AB4376">
                    <w:rPr>
                      <w:rFonts w:ascii="Arial" w:hAnsi="Arial" w:cs="Arial"/>
                      <w:sz w:val="20"/>
                      <w:szCs w:val="20"/>
                    </w:rPr>
                    <w:t>Tržišno discipliniranje banaka – zahtjevi za javnom objavom.</w:t>
                  </w:r>
                </w:p>
              </w:tc>
              <w:tc>
                <w:tcPr>
                  <w:tcW w:w="401" w:type="dxa"/>
                  <w:tcBorders>
                    <w:bottom w:val="single" w:sz="18" w:space="0" w:color="auto"/>
                    <w:right w:val="single" w:sz="18" w:space="0" w:color="auto"/>
                  </w:tcBorders>
                  <w:vAlign w:val="center"/>
                </w:tcPr>
                <w:p w:rsidR="001C0A05" w:rsidRPr="00AB4376" w:rsidRDefault="001C0A05" w:rsidP="00DE13CC">
                  <w:pPr>
                    <w:jc w:val="center"/>
                    <w:rPr>
                      <w:rFonts w:ascii="Arial" w:hAnsi="Arial" w:cs="Arial"/>
                      <w:sz w:val="16"/>
                      <w:szCs w:val="16"/>
                    </w:rPr>
                  </w:pPr>
                  <w:r w:rsidRPr="00AB4376">
                    <w:rPr>
                      <w:rFonts w:ascii="Arial" w:hAnsi="Arial" w:cs="Arial"/>
                      <w:sz w:val="16"/>
                      <w:szCs w:val="16"/>
                    </w:rPr>
                    <w:t>2</w:t>
                  </w:r>
                </w:p>
              </w:tc>
            </w:tr>
          </w:tbl>
          <w:p w:rsidR="001C0A05" w:rsidRPr="00AB4376" w:rsidRDefault="001C0A05" w:rsidP="00DE13CC">
            <w:pPr>
              <w:tabs>
                <w:tab w:val="left" w:pos="2820"/>
              </w:tabs>
              <w:spacing w:after="0"/>
              <w:rPr>
                <w:rFonts w:ascii="Arial" w:hAnsi="Arial" w:cs="Arial"/>
                <w:sz w:val="20"/>
                <w:szCs w:val="20"/>
              </w:rPr>
            </w:pPr>
          </w:p>
        </w:tc>
      </w:tr>
      <w:tr w:rsidR="001C0A05" w:rsidRPr="00AB4376" w:rsidTr="00DE13CC">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1C0A05" w:rsidRPr="00AB4376" w:rsidRDefault="001C0A05" w:rsidP="00DE13CC">
            <w:pPr>
              <w:pStyle w:val="FieldText"/>
              <w:rPr>
                <w:rFonts w:ascii="Arial" w:hAnsi="Arial" w:cs="Arial"/>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sz w:val="20"/>
                <w:szCs w:val="20"/>
                <w:lang w:val="hr-HR"/>
              </w:rPr>
              <w:t>predavanja</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seminari i radionice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sz w:val="20"/>
                <w:szCs w:val="20"/>
                <w:lang w:val="hr-HR"/>
              </w:rPr>
              <w:t xml:space="preserve">vježbe </w:t>
            </w:r>
            <w:r w:rsidRPr="00AB4376">
              <w:rPr>
                <w:rFonts w:ascii="Arial" w:hAnsi="Arial" w:cs="Arial"/>
                <w:b w:val="0"/>
                <w:sz w:val="20"/>
                <w:szCs w:val="20"/>
                <w:lang w:val="hr-HR"/>
              </w:rPr>
              <w:t xml:space="preserve">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w:t>
            </w:r>
            <w:r w:rsidRPr="00AB4376">
              <w:rPr>
                <w:rFonts w:ascii="Arial" w:hAnsi="Arial" w:cs="Arial"/>
                <w:b w:val="0"/>
                <w:i/>
                <w:sz w:val="20"/>
                <w:szCs w:val="20"/>
                <w:lang w:val="hr-HR"/>
              </w:rPr>
              <w:t>on line</w:t>
            </w:r>
            <w:r w:rsidRPr="00AB4376">
              <w:rPr>
                <w:rFonts w:ascii="Arial" w:hAnsi="Arial" w:cs="Arial"/>
                <w:b w:val="0"/>
                <w:sz w:val="20"/>
                <w:szCs w:val="20"/>
                <w:lang w:val="hr-HR"/>
              </w:rPr>
              <w:t xml:space="preserve"> u cijelosti</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mješovito e-učenje</w:t>
            </w:r>
          </w:p>
          <w:p w:rsidR="001C0A05" w:rsidRPr="00AB4376" w:rsidRDefault="001C0A0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samostalni  zadaci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multimedija </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laboratorij</w:t>
            </w:r>
          </w:p>
          <w:p w:rsidR="001C0A05" w:rsidRPr="00AB4376" w:rsidRDefault="001C0A05" w:rsidP="00DE13CC">
            <w:pPr>
              <w:pStyle w:val="FieldText"/>
              <w:rPr>
                <w:rFonts w:ascii="Arial" w:hAnsi="Arial" w:cs="Arial"/>
                <w:b w:val="0"/>
                <w:sz w:val="20"/>
                <w:szCs w:val="20"/>
                <w:lang w:val="hr-HR"/>
              </w:rPr>
            </w:pPr>
            <w:r w:rsidRPr="00AB4376">
              <w:rPr>
                <w:rFonts w:ascii="MS Gothic" w:eastAsia="MS Gothic" w:hAnsi="MS Gothic" w:cs="MS Gothic" w:hint="eastAsia"/>
                <w:b w:val="0"/>
                <w:sz w:val="20"/>
                <w:szCs w:val="20"/>
                <w:lang w:val="hr-HR"/>
              </w:rPr>
              <w:t>☐</w:t>
            </w:r>
            <w:r w:rsidRPr="00AB4376">
              <w:rPr>
                <w:rFonts w:ascii="Arial" w:hAnsi="Arial" w:cs="Arial"/>
                <w:b w:val="0"/>
                <w:sz w:val="20"/>
                <w:szCs w:val="20"/>
                <w:lang w:val="hr-HR"/>
              </w:rPr>
              <w:t xml:space="preserve"> mentorski rad</w:t>
            </w:r>
          </w:p>
          <w:p w:rsidR="001C0A05" w:rsidRPr="00AB4376" w:rsidRDefault="001C0A05" w:rsidP="00DE13CC">
            <w:pPr>
              <w:tabs>
                <w:tab w:val="left" w:pos="2820"/>
              </w:tabs>
              <w:spacing w:after="0"/>
              <w:rPr>
                <w:rFonts w:ascii="Arial" w:hAnsi="Arial" w:cs="Arial"/>
                <w:sz w:val="20"/>
                <w:szCs w:val="20"/>
              </w:rPr>
            </w:pPr>
            <w:r w:rsidRPr="00AB4376">
              <w:rPr>
                <w:rFonts w:ascii="MS Gothic" w:eastAsia="MS Gothic" w:hAnsi="MS Gothic" w:cs="MS Gothic" w:hint="eastAsia"/>
                <w:sz w:val="20"/>
                <w:szCs w:val="20"/>
              </w:rPr>
              <w:t>☐</w:t>
            </w:r>
            <w:r w:rsidRPr="00AB4376">
              <w:rPr>
                <w:rFonts w:ascii="Arial" w:hAnsi="Arial" w:cs="Arial"/>
                <w:sz w:val="20"/>
                <w:szCs w:val="20"/>
              </w:rPr>
              <w:t xml:space="preserve"> </w:t>
            </w:r>
            <w:r w:rsidR="004D09F1" w:rsidRPr="00AB4376">
              <w:rPr>
                <w:rFonts w:ascii="Arial" w:hAnsi="Arial" w:cs="Arial"/>
                <w:sz w:val="20"/>
                <w:szCs w:val="20"/>
              </w:rPr>
              <w:fldChar w:fldCharType="begin">
                <w:ffData>
                  <w:name w:val="Text1"/>
                  <w:enabled/>
                  <w:calcOnExit w:val="0"/>
                  <w:textInput/>
                </w:ffData>
              </w:fldChar>
            </w:r>
            <w:r w:rsidRPr="00AB4376">
              <w:rPr>
                <w:rFonts w:ascii="Arial" w:hAnsi="Arial" w:cs="Arial"/>
                <w:sz w:val="20"/>
                <w:szCs w:val="20"/>
              </w:rPr>
              <w:instrText xml:space="preserve"> FORMTEXT </w:instrText>
            </w:r>
            <w:r w:rsidR="004D09F1" w:rsidRPr="00AB4376">
              <w:rPr>
                <w:rFonts w:ascii="Arial" w:hAnsi="Arial" w:cs="Arial"/>
                <w:sz w:val="20"/>
                <w:szCs w:val="20"/>
              </w:rPr>
            </w:r>
            <w:r w:rsidR="004D09F1" w:rsidRPr="00AB4376">
              <w:rPr>
                <w:rFonts w:ascii="Arial" w:hAnsi="Arial" w:cs="Arial"/>
                <w:sz w:val="20"/>
                <w:szCs w:val="20"/>
              </w:rPr>
              <w:fldChar w:fldCharType="separate"/>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Pr="00AB4376">
              <w:rPr>
                <w:rFonts w:ascii="Arial" w:hAnsi="Arial" w:cs="Arial"/>
                <w:sz w:val="20"/>
                <w:szCs w:val="20"/>
              </w:rPr>
              <w:t> </w:t>
            </w:r>
            <w:r w:rsidR="004D09F1" w:rsidRPr="00AB4376">
              <w:rPr>
                <w:rFonts w:ascii="Arial" w:hAnsi="Arial" w:cs="Arial"/>
                <w:sz w:val="20"/>
                <w:szCs w:val="20"/>
              </w:rPr>
              <w:fldChar w:fldCharType="end"/>
            </w:r>
            <w:r w:rsidRPr="00AB4376">
              <w:rPr>
                <w:rFonts w:ascii="Arial" w:hAnsi="Arial" w:cs="Arial"/>
                <w:sz w:val="20"/>
                <w:szCs w:val="20"/>
              </w:rPr>
              <w:t xml:space="preserve"> (ostalo upisati)</w:t>
            </w:r>
            <w:r w:rsidRPr="00AB4376">
              <w:rPr>
                <w:rFonts w:ascii="Arial" w:hAnsi="Arial" w:cs="Arial"/>
                <w:b/>
                <w:sz w:val="20"/>
                <w:szCs w:val="20"/>
              </w:rPr>
              <w:t xml:space="preserve"> </w:t>
            </w:r>
            <w:r w:rsidRPr="00AB4376">
              <w:rPr>
                <w:rFonts w:ascii="Arial" w:hAnsi="Arial" w:cs="Arial"/>
                <w:b/>
                <w:sz w:val="20"/>
                <w:szCs w:val="20"/>
                <w:bdr w:val="single" w:sz="12" w:space="0" w:color="auto"/>
              </w:rPr>
              <w:t xml:space="preserve"> </w:t>
            </w:r>
          </w:p>
        </w:tc>
      </w:tr>
      <w:tr w:rsidR="001C0A05" w:rsidRPr="00AB4376" w:rsidTr="00DE13CC">
        <w:trPr>
          <w:trHeight w:val="57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Uvjet za ostvarenje prava na potpis i pristup ispitu je 60%-</w:t>
            </w:r>
            <w:proofErr w:type="spellStart"/>
            <w:r w:rsidRPr="00AB4376">
              <w:rPr>
                <w:rFonts w:ascii="Arial" w:hAnsi="Arial" w:cs="Arial"/>
                <w:sz w:val="20"/>
                <w:szCs w:val="20"/>
              </w:rPr>
              <w:t>tna</w:t>
            </w:r>
            <w:proofErr w:type="spellEnd"/>
            <w:r w:rsidRPr="00AB4376">
              <w:rPr>
                <w:rFonts w:ascii="Arial" w:hAnsi="Arial" w:cs="Arial"/>
                <w:sz w:val="20"/>
                <w:szCs w:val="20"/>
              </w:rPr>
              <w:t xml:space="preserve"> prisutnost na predavanjima za redovne studente, odnosno 30%-</w:t>
            </w:r>
            <w:proofErr w:type="spellStart"/>
            <w:r w:rsidRPr="00AB4376">
              <w:rPr>
                <w:rFonts w:ascii="Arial" w:hAnsi="Arial" w:cs="Arial"/>
                <w:sz w:val="20"/>
                <w:szCs w:val="20"/>
              </w:rPr>
              <w:t>tna</w:t>
            </w:r>
            <w:proofErr w:type="spellEnd"/>
            <w:r w:rsidRPr="00AB4376">
              <w:rPr>
                <w:rFonts w:ascii="Arial" w:hAnsi="Arial" w:cs="Arial"/>
                <w:sz w:val="20"/>
                <w:szCs w:val="20"/>
              </w:rPr>
              <w:t xml:space="preserve"> prisutnost na predavanjima za izvanredne studente. </w:t>
            </w:r>
          </w:p>
        </w:tc>
      </w:tr>
      <w:tr w:rsidR="001C0A05" w:rsidRPr="00AB4376" w:rsidTr="00DE13CC">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2820"/>
              </w:tabs>
              <w:spacing w:after="0" w:line="240" w:lineRule="auto"/>
              <w:rPr>
                <w:rFonts w:ascii="Arial" w:hAnsi="Arial" w:cs="Arial"/>
                <w:sz w:val="20"/>
                <w:szCs w:val="20"/>
              </w:rPr>
            </w:pPr>
            <w:r w:rsidRPr="00AB4376">
              <w:rPr>
                <w:rFonts w:ascii="Arial" w:hAnsi="Arial" w:cs="Arial"/>
                <w:sz w:val="20"/>
                <w:szCs w:val="20"/>
              </w:rPr>
              <w:t xml:space="preserve">Praćenje rada studenata </w:t>
            </w:r>
            <w:r w:rsidRPr="00AB4376">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Eksperimentalni rad</w:t>
            </w:r>
          </w:p>
        </w:tc>
        <w:tc>
          <w:tcPr>
            <w:tcW w:w="782" w:type="dxa"/>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Referat</w:t>
            </w:r>
          </w:p>
        </w:tc>
        <w:tc>
          <w:tcPr>
            <w:tcW w:w="968" w:type="dxa"/>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1C0A05"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Esej</w:t>
            </w:r>
          </w:p>
        </w:tc>
        <w:tc>
          <w:tcPr>
            <w:tcW w:w="782" w:type="dxa"/>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Seminarski rad</w:t>
            </w:r>
          </w:p>
        </w:tc>
        <w:tc>
          <w:tcPr>
            <w:tcW w:w="968" w:type="dxa"/>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c>
          <w:tcPr>
            <w:tcW w:w="1520" w:type="dxa"/>
            <w:gridSpan w:val="4"/>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r w:rsidR="001C0A05" w:rsidRPr="00AB4376">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4D09F1" w:rsidP="00DE13CC">
            <w:pPr>
              <w:pStyle w:val="FieldText"/>
              <w:rPr>
                <w:rFonts w:ascii="Arial" w:hAnsi="Arial" w:cs="Arial"/>
                <w:b w:val="0"/>
                <w:sz w:val="20"/>
                <w:szCs w:val="20"/>
                <w:lang w:val="hr-HR"/>
              </w:rPr>
            </w:pPr>
            <w:r w:rsidRPr="00AB4376">
              <w:rPr>
                <w:rFonts w:ascii="Arial" w:hAnsi="Arial" w:cs="Arial"/>
                <w:b w:val="0"/>
                <w:sz w:val="20"/>
                <w:szCs w:val="20"/>
                <w:lang w:val="hr-HR"/>
              </w:rPr>
              <w:fldChar w:fldCharType="begin">
                <w:ffData>
                  <w:name w:val="Text1"/>
                  <w:enabled/>
                  <w:calcOnExit w:val="0"/>
                  <w:textInput/>
                </w:ffData>
              </w:fldChar>
            </w:r>
            <w:r w:rsidR="001C0A05" w:rsidRPr="00AB4376">
              <w:rPr>
                <w:rFonts w:ascii="Arial" w:hAnsi="Arial" w:cs="Arial"/>
                <w:b w:val="0"/>
                <w:sz w:val="20"/>
                <w:szCs w:val="20"/>
                <w:lang w:val="hr-HR"/>
              </w:rPr>
              <w:instrText xml:space="preserve"> FORMTEXT </w:instrText>
            </w:r>
            <w:r w:rsidRPr="00AB4376">
              <w:rPr>
                <w:rFonts w:ascii="Arial" w:hAnsi="Arial" w:cs="Arial"/>
                <w:b w:val="0"/>
                <w:sz w:val="20"/>
                <w:szCs w:val="20"/>
                <w:lang w:val="hr-HR"/>
              </w:rPr>
            </w:r>
            <w:r w:rsidRPr="00AB4376">
              <w:rPr>
                <w:rFonts w:ascii="Arial" w:hAnsi="Arial" w:cs="Arial"/>
                <w:b w:val="0"/>
                <w:sz w:val="20"/>
                <w:szCs w:val="20"/>
                <w:lang w:val="hr-HR"/>
              </w:rPr>
              <w:fldChar w:fldCharType="separate"/>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001C0A05" w:rsidRPr="00AB4376">
              <w:rPr>
                <w:rFonts w:ascii="Arial" w:hAnsi="Arial" w:cs="Arial"/>
                <w:b w:val="0"/>
                <w:noProof/>
                <w:sz w:val="20"/>
                <w:szCs w:val="20"/>
                <w:lang w:val="hr-HR"/>
              </w:rPr>
              <w:t> </w:t>
            </w:r>
            <w:r w:rsidRPr="00AB4376">
              <w:rPr>
                <w:rFonts w:ascii="Arial" w:hAnsi="Arial" w:cs="Arial"/>
                <w:b w:val="0"/>
                <w:sz w:val="20"/>
                <w:szCs w:val="20"/>
                <w:lang w:val="hr-HR"/>
              </w:rPr>
              <w:fldChar w:fldCharType="end"/>
            </w:r>
          </w:p>
        </w:tc>
      </w:tr>
      <w:tr w:rsidR="001C0A05" w:rsidRPr="00AB4376" w:rsidTr="00DE13CC">
        <w:trPr>
          <w:trHeight w:val="397"/>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Kolokviji</w:t>
            </w:r>
          </w:p>
        </w:tc>
        <w:tc>
          <w:tcPr>
            <w:tcW w:w="782" w:type="dxa"/>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4*</w:t>
            </w:r>
          </w:p>
        </w:tc>
        <w:tc>
          <w:tcPr>
            <w:tcW w:w="1275" w:type="dxa"/>
            <w:gridSpan w:val="3"/>
            <w:tcMar>
              <w:left w:w="57" w:type="dxa"/>
              <w:right w:w="57" w:type="dxa"/>
            </w:tcMar>
            <w:vAlign w:val="center"/>
          </w:tcPr>
          <w:p w:rsidR="001C0A05" w:rsidRPr="00AB4376" w:rsidRDefault="001C0A05" w:rsidP="00DE13CC">
            <w:pPr>
              <w:pStyle w:val="FieldText"/>
              <w:rPr>
                <w:rFonts w:ascii="Arial" w:hAnsi="Arial" w:cs="Arial"/>
                <w:b w:val="0"/>
                <w:sz w:val="20"/>
                <w:szCs w:val="20"/>
                <w:lang w:val="hr-HR"/>
              </w:rPr>
            </w:pPr>
            <w:r w:rsidRPr="00AB4376">
              <w:rPr>
                <w:rFonts w:ascii="Arial" w:hAnsi="Arial" w:cs="Arial"/>
                <w:b w:val="0"/>
                <w:sz w:val="20"/>
                <w:szCs w:val="20"/>
                <w:lang w:val="hr-HR"/>
              </w:rPr>
              <w:t>Usmeni ispit</w:t>
            </w:r>
          </w:p>
        </w:tc>
        <w:tc>
          <w:tcPr>
            <w:tcW w:w="968" w:type="dxa"/>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rPr>
            </w:pPr>
            <w:r w:rsidRPr="00AB4376">
              <w:rPr>
                <w:rFonts w:ascii="Arial" w:hAnsi="Arial" w:cs="Arial"/>
                <w:sz w:val="20"/>
                <w:szCs w:val="20"/>
              </w:rPr>
              <w:t>2</w:t>
            </w:r>
          </w:p>
        </w:tc>
        <w:tc>
          <w:tcPr>
            <w:tcW w:w="1520" w:type="dxa"/>
            <w:gridSpan w:val="4"/>
            <w:tcMar>
              <w:left w:w="57" w:type="dxa"/>
              <w:right w:w="57" w:type="dxa"/>
            </w:tcMar>
            <w:vAlign w:val="center"/>
          </w:tcPr>
          <w:p w:rsidR="001C0A05" w:rsidRPr="00AB4376" w:rsidRDefault="004D09F1"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r w:rsidR="001C0A05" w:rsidRPr="00AB4376">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1C0A05" w:rsidRPr="00AB4376" w:rsidRDefault="004D09F1"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r>
      <w:tr w:rsidR="001C0A05" w:rsidRPr="00AB4376" w:rsidTr="00DE13CC">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1C0A0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highlight w:val="yellow"/>
              </w:rPr>
            </w:pPr>
            <w:r w:rsidRPr="00AB4376">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highlight w:val="yellow"/>
              </w:rPr>
            </w:pPr>
            <w:r w:rsidRPr="00AB4376">
              <w:rPr>
                <w:rFonts w:ascii="Arial" w:hAnsi="Arial" w:cs="Arial"/>
                <w:sz w:val="20"/>
                <w:szCs w:val="20"/>
              </w:rPr>
              <w:t>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1C0A05" w:rsidP="00DE13CC">
            <w:pPr>
              <w:tabs>
                <w:tab w:val="left" w:pos="2820"/>
              </w:tabs>
              <w:spacing w:after="0"/>
              <w:rPr>
                <w:rFonts w:ascii="Arial" w:hAnsi="Arial" w:cs="Arial"/>
                <w:sz w:val="20"/>
                <w:szCs w:val="20"/>
                <w:highlight w:val="yellow"/>
              </w:rPr>
            </w:pPr>
            <w:r w:rsidRPr="00AB4376">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4D09F1" w:rsidP="00DE13CC">
            <w:pPr>
              <w:tabs>
                <w:tab w:val="left" w:pos="2820"/>
              </w:tabs>
              <w:spacing w:after="0"/>
              <w:rPr>
                <w:rFonts w:ascii="Arial" w:hAnsi="Arial" w:cs="Arial"/>
                <w:sz w:val="20"/>
                <w:szCs w:val="20"/>
                <w:highlight w:val="yellow"/>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1C0A05" w:rsidRPr="00AB4376" w:rsidRDefault="004D09F1"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r w:rsidR="001C0A05" w:rsidRPr="00AB4376">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1C0A05" w:rsidRPr="00AB4376" w:rsidRDefault="004D09F1" w:rsidP="00DE13CC">
            <w:pPr>
              <w:tabs>
                <w:tab w:val="left" w:pos="2820"/>
              </w:tabs>
              <w:spacing w:after="0"/>
              <w:rPr>
                <w:rFonts w:ascii="Arial" w:hAnsi="Arial" w:cs="Arial"/>
                <w:sz w:val="20"/>
                <w:szCs w:val="20"/>
              </w:rPr>
            </w:pPr>
            <w:r w:rsidRPr="00AB4376">
              <w:rPr>
                <w:rFonts w:ascii="Arial" w:hAnsi="Arial" w:cs="Arial"/>
                <w:sz w:val="20"/>
                <w:szCs w:val="20"/>
              </w:rPr>
              <w:fldChar w:fldCharType="begin">
                <w:ffData>
                  <w:name w:val="Text1"/>
                  <w:enabled/>
                  <w:calcOnExit w:val="0"/>
                  <w:textInput/>
                </w:ffData>
              </w:fldChar>
            </w:r>
            <w:r w:rsidR="001C0A05" w:rsidRPr="00AB4376">
              <w:rPr>
                <w:rFonts w:ascii="Arial" w:hAnsi="Arial" w:cs="Arial"/>
                <w:sz w:val="20"/>
                <w:szCs w:val="20"/>
              </w:rPr>
              <w:instrText xml:space="preserve"> FORMTEXT </w:instrText>
            </w:r>
            <w:r w:rsidRPr="00AB4376">
              <w:rPr>
                <w:rFonts w:ascii="Arial" w:hAnsi="Arial" w:cs="Arial"/>
                <w:sz w:val="20"/>
                <w:szCs w:val="20"/>
              </w:rPr>
            </w:r>
            <w:r w:rsidRPr="00AB4376">
              <w:rPr>
                <w:rFonts w:ascii="Arial" w:hAnsi="Arial" w:cs="Arial"/>
                <w:sz w:val="20"/>
                <w:szCs w:val="20"/>
              </w:rPr>
              <w:fldChar w:fldCharType="separate"/>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001C0A05" w:rsidRPr="00AB4376">
              <w:rPr>
                <w:rFonts w:ascii="Arial" w:hAnsi="Arial" w:cs="Arial"/>
                <w:noProof/>
                <w:sz w:val="20"/>
                <w:szCs w:val="20"/>
              </w:rPr>
              <w:t> </w:t>
            </w:r>
            <w:r w:rsidRPr="00AB4376">
              <w:rPr>
                <w:rFonts w:ascii="Arial" w:hAnsi="Arial" w:cs="Arial"/>
                <w:sz w:val="20"/>
                <w:szCs w:val="20"/>
              </w:rPr>
              <w:fldChar w:fldCharType="end"/>
            </w:r>
          </w:p>
        </w:tc>
      </w:tr>
      <w:tr w:rsidR="001C0A05" w:rsidRPr="00AB4376" w:rsidTr="00DE13CC">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360"/>
                <w:tab w:val="left" w:pos="540"/>
              </w:tabs>
              <w:spacing w:after="0" w:line="240" w:lineRule="auto"/>
              <w:rPr>
                <w:rFonts w:ascii="Arial" w:hAnsi="Arial" w:cs="Arial"/>
                <w:sz w:val="20"/>
                <w:szCs w:val="20"/>
              </w:rPr>
            </w:pPr>
            <w:r w:rsidRPr="00AB4376">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 xml:space="preserve">Kolokvij, pisani ispit, usmeni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 </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lastRenderedPageBreak/>
              <w:t>* Polaganje kolokvija zamjenjuje završni pisani i usmeni dio ispita.</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1C0A05" w:rsidRPr="00AB4376" w:rsidRDefault="001C0A05" w:rsidP="00DE13CC">
            <w:pPr>
              <w:tabs>
                <w:tab w:val="left" w:pos="360"/>
                <w:tab w:val="left" w:pos="540"/>
              </w:tabs>
              <w:spacing w:after="0" w:line="240" w:lineRule="auto"/>
              <w:jc w:val="both"/>
              <w:rPr>
                <w:rFonts w:ascii="Arial" w:hAnsi="Arial" w:cs="Arial"/>
                <w:sz w:val="20"/>
                <w:szCs w:val="20"/>
              </w:rPr>
            </w:pPr>
            <w:r w:rsidRPr="00AB4376">
              <w:rPr>
                <w:rFonts w:ascii="Arial" w:hAnsi="Arial" w:cs="Arial"/>
                <w:sz w:val="20"/>
                <w:szCs w:val="20"/>
              </w:rPr>
              <w:t>Termini ispita bit će definirani kalendarom ispita. Ispit se polaže u pisanom obliku i sastoji se od 5 pitanja. Ocjenjivanje: svako pitanje ocjenjuje se ocjenom od nedovoljan (1) do izvrstan (5), a ukupna ocjena formira se kao prosječna ocjena. Prolazna ocjena dovoljan (2) ne smije biti rezultat zaokruživanja na veću decimalu. U slučaju da prosječna ocjena nije cijeli broj, konačna ocjena formirat će se u ovisnosti od ocjena zahtjevnijih ispitnih pitanja, pri čemu će se pitanja obuhvaćena drugom pisanom provjerom znanja uzimati kao zahtjevnije ispitno gradivo.</w:t>
            </w:r>
          </w:p>
        </w:tc>
      </w:tr>
      <w:tr w:rsidR="001C0A05" w:rsidRPr="00AB4376" w:rsidTr="00DE13CC">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540"/>
              </w:tabs>
              <w:spacing w:after="0" w:line="240" w:lineRule="auto"/>
              <w:rPr>
                <w:rFonts w:ascii="Arial" w:hAnsi="Arial" w:cs="Arial"/>
                <w:sz w:val="20"/>
                <w:szCs w:val="20"/>
              </w:rPr>
            </w:pPr>
            <w:r w:rsidRPr="00AB4376">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1C0A05" w:rsidRPr="00AB4376" w:rsidRDefault="001C0A05" w:rsidP="00DE13CC">
            <w:pPr>
              <w:tabs>
                <w:tab w:val="left" w:pos="2820"/>
              </w:tabs>
              <w:spacing w:after="0"/>
              <w:jc w:val="center"/>
              <w:rPr>
                <w:rFonts w:ascii="Arial" w:hAnsi="Arial" w:cs="Arial"/>
                <w:b/>
                <w:sz w:val="20"/>
                <w:szCs w:val="20"/>
              </w:rPr>
            </w:pPr>
            <w:r w:rsidRPr="00AB4376">
              <w:rPr>
                <w:rFonts w:ascii="Arial" w:hAnsi="Arial" w:cs="Arial"/>
                <w:b/>
                <w:sz w:val="20"/>
                <w:szCs w:val="20"/>
              </w:rPr>
              <w:t>Dostupnost putem ostalih medija</w:t>
            </w:r>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Kundid,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proofErr w:type="spellStart"/>
            <w:r w:rsidRPr="00AB4376">
              <w:rPr>
                <w:rFonts w:ascii="Arial" w:hAnsi="Arial" w:cs="Arial"/>
                <w:sz w:val="20"/>
                <w:szCs w:val="20"/>
              </w:rPr>
              <w:t>Intraweb</w:t>
            </w:r>
            <w:proofErr w:type="spellEnd"/>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 xml:space="preserve">Rose, P. S. (2005) </w:t>
            </w:r>
            <w:r w:rsidRPr="00AB4376">
              <w:rPr>
                <w:rFonts w:ascii="Arial" w:hAnsi="Arial" w:cs="Arial"/>
                <w:i/>
                <w:sz w:val="20"/>
                <w:szCs w:val="20"/>
              </w:rPr>
              <w:t>Menadžment komercijalnih banaka</w:t>
            </w:r>
            <w:r w:rsidRPr="00AB4376">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6</w:t>
            </w:r>
          </w:p>
        </w:tc>
        <w:tc>
          <w:tcPr>
            <w:tcW w:w="1518" w:type="dxa"/>
            <w:gridSpan w:val="3"/>
            <w:tcBorders>
              <w:left w:val="single" w:sz="8" w:space="0" w:color="auto"/>
              <w:right w:val="single" w:sz="12"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r>
      <w:tr w:rsidR="001C0A05" w:rsidRPr="00AB4376" w:rsidTr="00DE13CC">
        <w:trPr>
          <w:trHeight w:val="75"/>
        </w:trPr>
        <w:tc>
          <w:tcPr>
            <w:tcW w:w="1912" w:type="dxa"/>
            <w:gridSpan w:val="2"/>
            <w:vMerge/>
            <w:tcBorders>
              <w:left w:val="single" w:sz="12" w:space="0" w:color="auto"/>
            </w:tcBorders>
            <w:shd w:val="clear" w:color="auto" w:fill="CCFFFF"/>
            <w:tcMar>
              <w:left w:w="57" w:type="dxa"/>
              <w:right w:w="57" w:type="dxa"/>
            </w:tcMar>
            <w:vAlign w:val="center"/>
          </w:tcPr>
          <w:p w:rsidR="001C0A05" w:rsidRPr="00AB4376" w:rsidRDefault="001C0A05" w:rsidP="001C0A05">
            <w:pPr>
              <w:numPr>
                <w:ilvl w:val="0"/>
                <w:numId w:val="5"/>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1C0A05" w:rsidRPr="00AB4376" w:rsidRDefault="001C0A05" w:rsidP="001C0A05">
            <w:pPr>
              <w:numPr>
                <w:ilvl w:val="0"/>
                <w:numId w:val="5"/>
              </w:numPr>
              <w:tabs>
                <w:tab w:val="left" w:pos="2820"/>
              </w:tabs>
              <w:spacing w:after="0"/>
              <w:rPr>
                <w:rFonts w:ascii="Arial" w:hAnsi="Arial" w:cs="Arial"/>
                <w:sz w:val="20"/>
                <w:szCs w:val="20"/>
              </w:rPr>
            </w:pPr>
            <w:r w:rsidRPr="00AB4376">
              <w:rPr>
                <w:rFonts w:ascii="Arial" w:hAnsi="Arial" w:cs="Arial"/>
                <w:sz w:val="20"/>
                <w:szCs w:val="20"/>
              </w:rPr>
              <w:t xml:space="preserve">van </w:t>
            </w:r>
            <w:proofErr w:type="spellStart"/>
            <w:r w:rsidRPr="00AB4376">
              <w:rPr>
                <w:rFonts w:ascii="Arial" w:hAnsi="Arial" w:cs="Arial"/>
                <w:sz w:val="20"/>
                <w:szCs w:val="20"/>
              </w:rPr>
              <w:t>Greuning</w:t>
            </w:r>
            <w:proofErr w:type="spellEnd"/>
            <w:r w:rsidRPr="00AB4376">
              <w:rPr>
                <w:rFonts w:ascii="Arial" w:hAnsi="Arial" w:cs="Arial"/>
                <w:sz w:val="20"/>
                <w:szCs w:val="20"/>
              </w:rPr>
              <w:t xml:space="preserve">, H. i </w:t>
            </w:r>
            <w:proofErr w:type="spellStart"/>
            <w:r w:rsidRPr="00AB4376">
              <w:rPr>
                <w:rFonts w:ascii="Arial" w:hAnsi="Arial" w:cs="Arial"/>
                <w:sz w:val="20"/>
                <w:szCs w:val="20"/>
              </w:rPr>
              <w:t>Brajovic</w:t>
            </w:r>
            <w:proofErr w:type="spellEnd"/>
            <w:r w:rsidRPr="00AB4376">
              <w:rPr>
                <w:rFonts w:ascii="Arial" w:hAnsi="Arial" w:cs="Arial"/>
                <w:sz w:val="20"/>
                <w:szCs w:val="20"/>
              </w:rPr>
              <w:t xml:space="preserve"> </w:t>
            </w:r>
            <w:proofErr w:type="spellStart"/>
            <w:r w:rsidRPr="00AB4376">
              <w:rPr>
                <w:rFonts w:ascii="Arial" w:hAnsi="Arial" w:cs="Arial"/>
                <w:sz w:val="20"/>
                <w:szCs w:val="20"/>
              </w:rPr>
              <w:t>Bratanovic</w:t>
            </w:r>
            <w:proofErr w:type="spellEnd"/>
            <w:r w:rsidRPr="00AB4376">
              <w:rPr>
                <w:rFonts w:ascii="Arial" w:hAnsi="Arial" w:cs="Arial"/>
                <w:sz w:val="20"/>
                <w:szCs w:val="20"/>
              </w:rPr>
              <w:t xml:space="preserve">, S. (2006) </w:t>
            </w:r>
            <w:r w:rsidRPr="00AB4376">
              <w:rPr>
                <w:rFonts w:ascii="Arial" w:hAnsi="Arial" w:cs="Arial"/>
                <w:i/>
                <w:sz w:val="20"/>
                <w:szCs w:val="20"/>
              </w:rPr>
              <w:t>Analiza i upravljanje bankovnim rizicima: pristupi za ocjenu organizacije upravljanja rizicima i izloženosti financijskom riziku</w:t>
            </w:r>
            <w:r w:rsidRPr="00AB4376">
              <w:rPr>
                <w:rFonts w:ascii="Arial" w:hAnsi="Arial" w:cs="Arial"/>
                <w:sz w:val="20"/>
                <w:szCs w:val="20"/>
              </w:rPr>
              <w:t>. Zagreb: MATE.</w:t>
            </w:r>
          </w:p>
        </w:tc>
        <w:tc>
          <w:tcPr>
            <w:tcW w:w="1244" w:type="dxa"/>
            <w:gridSpan w:val="2"/>
            <w:tcBorders>
              <w:left w:val="single" w:sz="8" w:space="0" w:color="auto"/>
              <w:right w:val="single" w:sz="8"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4</w:t>
            </w:r>
          </w:p>
        </w:tc>
        <w:tc>
          <w:tcPr>
            <w:tcW w:w="1518" w:type="dxa"/>
            <w:gridSpan w:val="3"/>
            <w:tcBorders>
              <w:left w:val="single" w:sz="8" w:space="0" w:color="auto"/>
              <w:right w:val="single" w:sz="12" w:space="0" w:color="auto"/>
            </w:tcBorders>
            <w:tcMar>
              <w:left w:w="57" w:type="dxa"/>
              <w:right w:w="57" w:type="dxa"/>
            </w:tcMar>
          </w:tcPr>
          <w:p w:rsidR="001C0A05" w:rsidRPr="00AB4376" w:rsidRDefault="001C0A05" w:rsidP="00DE13CC">
            <w:pPr>
              <w:tabs>
                <w:tab w:val="left" w:pos="2820"/>
              </w:tabs>
              <w:spacing w:after="0"/>
              <w:jc w:val="center"/>
              <w:rPr>
                <w:rFonts w:ascii="Arial" w:hAnsi="Arial" w:cs="Arial"/>
                <w:sz w:val="20"/>
                <w:szCs w:val="20"/>
              </w:rPr>
            </w:pPr>
            <w:r w:rsidRPr="00AB4376">
              <w:rPr>
                <w:rFonts w:ascii="Arial" w:hAnsi="Arial" w:cs="Arial"/>
                <w:sz w:val="20"/>
                <w:szCs w:val="20"/>
              </w:rPr>
              <w:t>/</w:t>
            </w:r>
          </w:p>
        </w:tc>
      </w:tr>
      <w:tr w:rsidR="001C0A05" w:rsidRPr="00AB4376" w:rsidTr="00DE13CC">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 xml:space="preserve">Dopunska literatura </w:t>
            </w:r>
          </w:p>
          <w:p w:rsidR="001C0A05" w:rsidRPr="00AB4376" w:rsidRDefault="001C0A05" w:rsidP="00DE13CC">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1C0A05" w:rsidRPr="00AB4376" w:rsidRDefault="001C0A05" w:rsidP="001C0A05">
            <w:pPr>
              <w:numPr>
                <w:ilvl w:val="0"/>
                <w:numId w:val="4"/>
              </w:numPr>
              <w:tabs>
                <w:tab w:val="left" w:pos="567"/>
              </w:tabs>
              <w:spacing w:after="0" w:line="240" w:lineRule="auto"/>
              <w:rPr>
                <w:rFonts w:ascii="Arial" w:hAnsi="Arial" w:cs="Arial"/>
                <w:sz w:val="20"/>
                <w:szCs w:val="20"/>
              </w:rPr>
            </w:pPr>
            <w:r w:rsidRPr="00AB4376">
              <w:rPr>
                <w:rFonts w:ascii="Arial" w:hAnsi="Arial" w:cs="Arial"/>
                <w:sz w:val="20"/>
                <w:szCs w:val="20"/>
              </w:rPr>
              <w:t xml:space="preserve">Rose, P. S. i </w:t>
            </w:r>
            <w:proofErr w:type="spellStart"/>
            <w:r w:rsidRPr="00AB4376">
              <w:rPr>
                <w:rFonts w:ascii="Arial" w:hAnsi="Arial" w:cs="Arial"/>
                <w:sz w:val="20"/>
                <w:szCs w:val="20"/>
              </w:rPr>
              <w:t>Hudgins</w:t>
            </w:r>
            <w:proofErr w:type="spellEnd"/>
            <w:r w:rsidRPr="00AB4376">
              <w:rPr>
                <w:rFonts w:ascii="Arial" w:hAnsi="Arial" w:cs="Arial"/>
                <w:sz w:val="20"/>
                <w:szCs w:val="20"/>
              </w:rPr>
              <w:t xml:space="preserve">, S. C. (2013) </w:t>
            </w:r>
            <w:r w:rsidRPr="00AB4376">
              <w:rPr>
                <w:rFonts w:ascii="Arial" w:hAnsi="Arial" w:cs="Arial"/>
                <w:i/>
                <w:sz w:val="20"/>
                <w:szCs w:val="20"/>
              </w:rPr>
              <w:t xml:space="preserve">Bank Management &amp; Financial </w:t>
            </w:r>
            <w:proofErr w:type="spellStart"/>
            <w:r w:rsidRPr="00AB4376">
              <w:rPr>
                <w:rFonts w:ascii="Arial" w:hAnsi="Arial" w:cs="Arial"/>
                <w:i/>
                <w:sz w:val="20"/>
                <w:szCs w:val="20"/>
              </w:rPr>
              <w:t>Services</w:t>
            </w:r>
            <w:proofErr w:type="spellEnd"/>
            <w:r w:rsidRPr="00AB4376">
              <w:rPr>
                <w:rFonts w:ascii="Arial" w:hAnsi="Arial" w:cs="Arial"/>
                <w:sz w:val="20"/>
                <w:szCs w:val="20"/>
              </w:rPr>
              <w:t xml:space="preserve">. USA: </w:t>
            </w:r>
            <w:proofErr w:type="spellStart"/>
            <w:r w:rsidRPr="00AB4376">
              <w:rPr>
                <w:rFonts w:ascii="Arial" w:hAnsi="Arial" w:cs="Arial"/>
                <w:sz w:val="20"/>
                <w:szCs w:val="20"/>
              </w:rPr>
              <w:t>McGraw</w:t>
            </w:r>
            <w:proofErr w:type="spellEnd"/>
            <w:r w:rsidRPr="00AB4376">
              <w:rPr>
                <w:rFonts w:ascii="Arial" w:hAnsi="Arial" w:cs="Arial"/>
                <w:sz w:val="20"/>
                <w:szCs w:val="20"/>
              </w:rPr>
              <w:t>-</w:t>
            </w:r>
            <w:proofErr w:type="spellStart"/>
            <w:r w:rsidRPr="00AB4376">
              <w:rPr>
                <w:rFonts w:ascii="Arial" w:hAnsi="Arial" w:cs="Arial"/>
                <w:sz w:val="20"/>
                <w:szCs w:val="20"/>
              </w:rPr>
              <w:t>Hill</w:t>
            </w:r>
            <w:proofErr w:type="spellEnd"/>
            <w:r w:rsidRPr="00AB4376">
              <w:rPr>
                <w:rFonts w:ascii="Arial" w:hAnsi="Arial" w:cs="Arial"/>
                <w:sz w:val="20"/>
                <w:szCs w:val="20"/>
              </w:rPr>
              <w:t xml:space="preserve"> (1 kom).</w:t>
            </w:r>
          </w:p>
          <w:p w:rsidR="001C0A05" w:rsidRPr="00AB4376" w:rsidRDefault="001C0A05" w:rsidP="001C0A05">
            <w:pPr>
              <w:numPr>
                <w:ilvl w:val="0"/>
                <w:numId w:val="4"/>
              </w:numPr>
              <w:tabs>
                <w:tab w:val="left" w:pos="567"/>
              </w:tabs>
              <w:spacing w:after="0" w:line="240" w:lineRule="auto"/>
              <w:rPr>
                <w:rFonts w:ascii="Arial" w:hAnsi="Arial" w:cs="Arial"/>
                <w:sz w:val="20"/>
                <w:szCs w:val="20"/>
              </w:rPr>
            </w:pPr>
            <w:proofErr w:type="spellStart"/>
            <w:r w:rsidRPr="00AB4376">
              <w:rPr>
                <w:rFonts w:ascii="Arial" w:hAnsi="Arial" w:cs="Arial"/>
                <w:sz w:val="20"/>
                <w:szCs w:val="20"/>
              </w:rPr>
              <w:t>Gregurek</w:t>
            </w:r>
            <w:proofErr w:type="spellEnd"/>
            <w:r w:rsidRPr="00AB4376">
              <w:rPr>
                <w:rFonts w:ascii="Arial" w:hAnsi="Arial" w:cs="Arial"/>
                <w:sz w:val="20"/>
                <w:szCs w:val="20"/>
              </w:rPr>
              <w:t xml:space="preserve">, M. i Vidaković, N. (2011) </w:t>
            </w:r>
            <w:r w:rsidRPr="00AB4376">
              <w:rPr>
                <w:rFonts w:ascii="Arial" w:hAnsi="Arial" w:cs="Arial"/>
                <w:i/>
                <w:sz w:val="20"/>
                <w:szCs w:val="20"/>
              </w:rPr>
              <w:t>Bankarsko poslovanje</w:t>
            </w:r>
            <w:r w:rsidRPr="00AB4376">
              <w:rPr>
                <w:rFonts w:ascii="Arial" w:hAnsi="Arial" w:cs="Arial"/>
                <w:sz w:val="20"/>
                <w:szCs w:val="20"/>
              </w:rPr>
              <w:t xml:space="preserve">. Zagreb: </w:t>
            </w:r>
            <w:proofErr w:type="spellStart"/>
            <w:r w:rsidRPr="00AB4376">
              <w:rPr>
                <w:rFonts w:ascii="Arial" w:hAnsi="Arial" w:cs="Arial"/>
                <w:sz w:val="20"/>
                <w:szCs w:val="20"/>
              </w:rPr>
              <w:t>RRiF</w:t>
            </w:r>
            <w:proofErr w:type="spellEnd"/>
            <w:r w:rsidRPr="00AB4376">
              <w:rPr>
                <w:rFonts w:ascii="Arial" w:hAnsi="Arial" w:cs="Arial"/>
                <w:sz w:val="20"/>
                <w:szCs w:val="20"/>
              </w:rPr>
              <w:t xml:space="preserve"> (6 kom).</w:t>
            </w:r>
          </w:p>
          <w:p w:rsidR="001C0A05" w:rsidRPr="00AB4376" w:rsidRDefault="001C0A05" w:rsidP="001C0A05">
            <w:pPr>
              <w:numPr>
                <w:ilvl w:val="0"/>
                <w:numId w:val="4"/>
              </w:numPr>
              <w:tabs>
                <w:tab w:val="left" w:pos="567"/>
              </w:tabs>
              <w:spacing w:after="0" w:line="240" w:lineRule="auto"/>
              <w:rPr>
                <w:rFonts w:ascii="Arial" w:hAnsi="Arial" w:cs="Arial"/>
                <w:sz w:val="20"/>
                <w:szCs w:val="20"/>
              </w:rPr>
            </w:pPr>
            <w:proofErr w:type="spellStart"/>
            <w:r w:rsidRPr="00AB4376">
              <w:rPr>
                <w:rFonts w:ascii="Arial" w:hAnsi="Arial" w:cs="Arial"/>
                <w:sz w:val="20"/>
                <w:szCs w:val="20"/>
              </w:rPr>
              <w:t>Koch</w:t>
            </w:r>
            <w:proofErr w:type="spellEnd"/>
            <w:r w:rsidRPr="00AB4376">
              <w:rPr>
                <w:rFonts w:ascii="Arial" w:hAnsi="Arial" w:cs="Arial"/>
                <w:sz w:val="20"/>
                <w:szCs w:val="20"/>
              </w:rPr>
              <w:t xml:space="preserve">, T. W. i </w:t>
            </w:r>
            <w:proofErr w:type="spellStart"/>
            <w:r w:rsidRPr="00AB4376">
              <w:rPr>
                <w:rFonts w:ascii="Arial" w:hAnsi="Arial" w:cs="Arial"/>
                <w:sz w:val="20"/>
                <w:szCs w:val="20"/>
              </w:rPr>
              <w:t>MacDonald</w:t>
            </w:r>
            <w:proofErr w:type="spellEnd"/>
            <w:r w:rsidRPr="00AB4376">
              <w:rPr>
                <w:rFonts w:ascii="Arial" w:hAnsi="Arial" w:cs="Arial"/>
                <w:sz w:val="20"/>
                <w:szCs w:val="20"/>
              </w:rPr>
              <w:t xml:space="preserve">, S. S. (2000) </w:t>
            </w:r>
            <w:r w:rsidRPr="00AB4376">
              <w:rPr>
                <w:rFonts w:ascii="Arial" w:hAnsi="Arial" w:cs="Arial"/>
                <w:i/>
                <w:sz w:val="20"/>
                <w:szCs w:val="20"/>
              </w:rPr>
              <w:t>Bank Management</w:t>
            </w:r>
            <w:r w:rsidRPr="00AB4376">
              <w:rPr>
                <w:rFonts w:ascii="Arial" w:hAnsi="Arial" w:cs="Arial"/>
                <w:sz w:val="20"/>
                <w:szCs w:val="20"/>
              </w:rPr>
              <w:t xml:space="preserve">. USA: </w:t>
            </w:r>
            <w:proofErr w:type="spellStart"/>
            <w:r w:rsidRPr="00AB4376">
              <w:rPr>
                <w:rFonts w:ascii="Arial" w:hAnsi="Arial" w:cs="Arial"/>
                <w:sz w:val="20"/>
                <w:szCs w:val="20"/>
              </w:rPr>
              <w:t>Dryden</w:t>
            </w:r>
            <w:proofErr w:type="spellEnd"/>
            <w:r w:rsidRPr="00AB4376">
              <w:rPr>
                <w:rFonts w:ascii="Arial" w:hAnsi="Arial" w:cs="Arial"/>
                <w:sz w:val="20"/>
                <w:szCs w:val="20"/>
              </w:rPr>
              <w:t xml:space="preserve"> </w:t>
            </w:r>
            <w:proofErr w:type="spellStart"/>
            <w:r w:rsidRPr="00AB4376">
              <w:rPr>
                <w:rFonts w:ascii="Arial" w:hAnsi="Arial" w:cs="Arial"/>
                <w:sz w:val="20"/>
                <w:szCs w:val="20"/>
              </w:rPr>
              <w:t>Press</w:t>
            </w:r>
            <w:proofErr w:type="spellEnd"/>
            <w:r w:rsidRPr="00AB4376">
              <w:rPr>
                <w:rFonts w:ascii="Arial" w:hAnsi="Arial" w:cs="Arial"/>
                <w:sz w:val="20"/>
                <w:szCs w:val="20"/>
              </w:rPr>
              <w:t xml:space="preserve"> (2 kom).</w:t>
            </w:r>
          </w:p>
          <w:p w:rsidR="001C0A05" w:rsidRPr="00AB4376" w:rsidRDefault="001C0A05" w:rsidP="001C0A05">
            <w:pPr>
              <w:numPr>
                <w:ilvl w:val="0"/>
                <w:numId w:val="4"/>
              </w:numPr>
              <w:tabs>
                <w:tab w:val="left" w:pos="2820"/>
              </w:tabs>
              <w:spacing w:after="0"/>
              <w:rPr>
                <w:rFonts w:ascii="Arial" w:hAnsi="Arial" w:cs="Arial"/>
                <w:sz w:val="20"/>
                <w:szCs w:val="20"/>
              </w:rPr>
            </w:pPr>
            <w:proofErr w:type="spellStart"/>
            <w:r w:rsidRPr="00AB4376">
              <w:rPr>
                <w:rFonts w:ascii="Arial" w:hAnsi="Arial" w:cs="Arial"/>
                <w:sz w:val="20"/>
                <w:szCs w:val="20"/>
              </w:rPr>
              <w:t>Šverko</w:t>
            </w:r>
            <w:proofErr w:type="spellEnd"/>
            <w:r w:rsidRPr="00AB4376">
              <w:rPr>
                <w:rFonts w:ascii="Arial" w:hAnsi="Arial" w:cs="Arial"/>
                <w:sz w:val="20"/>
                <w:szCs w:val="20"/>
              </w:rPr>
              <w:t xml:space="preserve">, I. (2007) </w:t>
            </w:r>
            <w:r w:rsidRPr="00AB4376">
              <w:rPr>
                <w:rFonts w:ascii="Arial" w:hAnsi="Arial" w:cs="Arial"/>
                <w:i/>
                <w:sz w:val="20"/>
                <w:szCs w:val="20"/>
              </w:rPr>
              <w:t xml:space="preserve">Upravljanje </w:t>
            </w:r>
            <w:proofErr w:type="spellStart"/>
            <w:r w:rsidRPr="00AB4376">
              <w:rPr>
                <w:rFonts w:ascii="Arial" w:hAnsi="Arial" w:cs="Arial"/>
                <w:i/>
                <w:sz w:val="20"/>
                <w:szCs w:val="20"/>
              </w:rPr>
              <w:t>nekreditnim</w:t>
            </w:r>
            <w:proofErr w:type="spellEnd"/>
            <w:r w:rsidRPr="00AB4376">
              <w:rPr>
                <w:rFonts w:ascii="Arial" w:hAnsi="Arial" w:cs="Arial"/>
                <w:i/>
                <w:sz w:val="20"/>
                <w:szCs w:val="20"/>
              </w:rPr>
              <w:t xml:space="preserve"> rizicima u hrvatskim financijskim institucijama</w:t>
            </w:r>
            <w:r w:rsidRPr="00AB4376">
              <w:rPr>
                <w:rFonts w:ascii="Arial" w:hAnsi="Arial" w:cs="Arial"/>
                <w:sz w:val="20"/>
                <w:szCs w:val="20"/>
              </w:rPr>
              <w:t>. Zagreb: HIBO (3 kom).</w:t>
            </w:r>
          </w:p>
        </w:tc>
      </w:tr>
      <w:tr w:rsidR="001C0A05" w:rsidRPr="00AB4376" w:rsidTr="00DE13CC">
        <w:tc>
          <w:tcPr>
            <w:tcW w:w="1912" w:type="dxa"/>
            <w:gridSpan w:val="2"/>
            <w:tcBorders>
              <w:left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Načini praćenja kvalitete koji osiguravaju stjecanje utvrđenih ishoda učenja</w:t>
            </w:r>
          </w:p>
        </w:tc>
        <w:tc>
          <w:tcPr>
            <w:tcW w:w="7552" w:type="dxa"/>
            <w:gridSpan w:val="12"/>
            <w:tcBorders>
              <w:right w:val="single" w:sz="12" w:space="0" w:color="auto"/>
            </w:tcBorders>
            <w:tcMar>
              <w:left w:w="57" w:type="dxa"/>
              <w:right w:w="57" w:type="dxa"/>
            </w:tcMar>
          </w:tcPr>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Praćenje pohađanja nastave i uspješnosti izvršenja ostalih obveza studenata (nastavnik)</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Nadzor izvođenja nastave (prodekan za nastavu)</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Analiza uspješnosti studiranja po svim predmetima studija (prodekan za nastavu)</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Studentska anketa o kvaliteti nastavnika i nastave za svaki predmet studija (UNIST, Centar za unaprjeđenje kvalitete)</w:t>
            </w:r>
          </w:p>
          <w:p w:rsidR="001C0A05" w:rsidRPr="00AB4376" w:rsidRDefault="001C0A05" w:rsidP="001C0A05">
            <w:pPr>
              <w:numPr>
                <w:ilvl w:val="0"/>
                <w:numId w:val="3"/>
              </w:numPr>
              <w:spacing w:after="0" w:line="240" w:lineRule="auto"/>
              <w:ind w:left="714" w:hanging="357"/>
              <w:jc w:val="both"/>
              <w:rPr>
                <w:rFonts w:ascii="Arial" w:hAnsi="Arial" w:cs="Arial"/>
                <w:bCs/>
                <w:sz w:val="20"/>
                <w:szCs w:val="20"/>
              </w:rPr>
            </w:pPr>
            <w:r w:rsidRPr="00AB4376">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1C0A05" w:rsidRPr="00AB4376" w:rsidTr="00DE13CC">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1C0A05" w:rsidRPr="00AB4376" w:rsidRDefault="001C0A05" w:rsidP="00DE13CC">
            <w:pPr>
              <w:tabs>
                <w:tab w:val="left" w:pos="567"/>
              </w:tabs>
              <w:spacing w:after="0" w:line="240" w:lineRule="auto"/>
              <w:rPr>
                <w:rFonts w:ascii="Arial" w:hAnsi="Arial" w:cs="Arial"/>
                <w:sz w:val="20"/>
                <w:szCs w:val="20"/>
              </w:rPr>
            </w:pPr>
            <w:r w:rsidRPr="00AB4376">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1C0A05" w:rsidRPr="00AB4376" w:rsidRDefault="001C0A05" w:rsidP="00DE13CC">
            <w:pPr>
              <w:tabs>
                <w:tab w:val="left" w:pos="2820"/>
              </w:tabs>
              <w:spacing w:after="0"/>
              <w:rPr>
                <w:rFonts w:ascii="Arial" w:hAnsi="Arial" w:cs="Arial"/>
                <w:sz w:val="20"/>
                <w:szCs w:val="20"/>
              </w:rPr>
            </w:pPr>
            <w:r w:rsidRPr="00AB4376">
              <w:rPr>
                <w:rFonts w:ascii="Arial" w:hAnsi="Arial" w:cs="Arial"/>
                <w:sz w:val="20"/>
                <w:szCs w:val="20"/>
              </w:rPr>
              <w:t>Nastava se izvodi na hrvatskom i engleskom jeziku.</w:t>
            </w:r>
          </w:p>
        </w:tc>
      </w:tr>
    </w:tbl>
    <w:p w:rsidR="00105D25" w:rsidRDefault="00105D25"/>
    <w:sectPr w:rsidR="00105D25" w:rsidSect="00105D25">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5949" w:rsidRDefault="009E5949" w:rsidP="001C0A05">
      <w:pPr>
        <w:spacing w:after="0" w:line="240" w:lineRule="auto"/>
      </w:pPr>
      <w:r>
        <w:separator/>
      </w:r>
    </w:p>
  </w:endnote>
  <w:endnote w:type="continuationSeparator" w:id="0">
    <w:p w:rsidR="009E5949" w:rsidRDefault="009E5949" w:rsidP="001C0A0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542E" w:rsidRDefault="00F4542E">
    <w:pPr>
      <w:pStyle w:val="Footer"/>
    </w:pPr>
    <w:r>
      <w:t>2017./2018.</w:t>
    </w:r>
  </w:p>
  <w:p w:rsidR="00F4542E" w:rsidRDefault="00F4542E">
    <w:pPr>
      <w:pStyle w:val="Footer"/>
    </w:pPr>
    <w:r>
      <w:t xml:space="preserve">21/11/17 – 17. </w:t>
    </w:r>
    <w:proofErr w:type="spellStart"/>
    <w:r>
      <w:t>Sj</w:t>
    </w:r>
    <w:proofErr w:type="spellEnd"/>
    <w:r>
      <w:t>. FV</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5949" w:rsidRDefault="009E5949" w:rsidP="001C0A05">
      <w:pPr>
        <w:spacing w:after="0" w:line="240" w:lineRule="auto"/>
      </w:pPr>
      <w:r>
        <w:separator/>
      </w:r>
    </w:p>
  </w:footnote>
  <w:footnote w:type="continuationSeparator" w:id="0">
    <w:p w:rsidR="009E5949" w:rsidRDefault="009E5949" w:rsidP="001C0A0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1303AB"/>
    <w:multiLevelType w:val="multilevel"/>
    <w:tmpl w:val="D0CC973C"/>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nsid w:val="423A6F46"/>
    <w:multiLevelType w:val="hybridMultilevel"/>
    <w:tmpl w:val="B39882E8"/>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2">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nsid w:val="6BD76C40"/>
    <w:multiLevelType w:val="multilevel"/>
    <w:tmpl w:val="C5CA74F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5"/>
  </w:num>
  <w:num w:numId="2">
    <w:abstractNumId w:val="3"/>
  </w:num>
  <w:num w:numId="3">
    <w:abstractNumId w:val="2"/>
  </w:num>
  <w:num w:numId="4">
    <w:abstractNumId w:val="0"/>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1C0A05"/>
    <w:rsid w:val="00105D25"/>
    <w:rsid w:val="00123D2D"/>
    <w:rsid w:val="001C0A05"/>
    <w:rsid w:val="002935B0"/>
    <w:rsid w:val="00381DCA"/>
    <w:rsid w:val="003C3FB8"/>
    <w:rsid w:val="004D09F1"/>
    <w:rsid w:val="00650F6E"/>
    <w:rsid w:val="007D7E47"/>
    <w:rsid w:val="00984067"/>
    <w:rsid w:val="009E5949"/>
    <w:rsid w:val="00D14EB5"/>
    <w:rsid w:val="00EF3B9A"/>
    <w:rsid w:val="00F4542E"/>
    <w:rsid w:val="00F940A6"/>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0A05"/>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1C0A05"/>
    <w:pPr>
      <w:spacing w:after="0" w:line="240" w:lineRule="auto"/>
    </w:pPr>
    <w:rPr>
      <w:rFonts w:ascii="Times New Roman" w:eastAsia="Times New Roman" w:hAnsi="Times New Roman"/>
      <w:b/>
      <w:sz w:val="19"/>
      <w:szCs w:val="19"/>
      <w:lang w:val="en-US" w:eastAsia="hr-HR"/>
    </w:rPr>
  </w:style>
  <w:style w:type="character" w:styleId="Strong">
    <w:name w:val="Strong"/>
    <w:basedOn w:val="DefaultParagraphFont"/>
    <w:uiPriority w:val="22"/>
    <w:qFormat/>
    <w:rsid w:val="001C0A05"/>
    <w:rPr>
      <w:rFonts w:cs="Times New Roman"/>
      <w:b/>
      <w:bCs/>
    </w:rPr>
  </w:style>
  <w:style w:type="paragraph" w:styleId="Header">
    <w:name w:val="header"/>
    <w:basedOn w:val="Normal"/>
    <w:link w:val="HeaderChar"/>
    <w:uiPriority w:val="99"/>
    <w:semiHidden/>
    <w:unhideWhenUsed/>
    <w:rsid w:val="001C0A05"/>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1C0A05"/>
    <w:rPr>
      <w:rFonts w:ascii="Calibri" w:eastAsia="Calibri" w:hAnsi="Calibri" w:cs="Times New Roman"/>
    </w:rPr>
  </w:style>
  <w:style w:type="paragraph" w:styleId="Footer">
    <w:name w:val="footer"/>
    <w:basedOn w:val="Normal"/>
    <w:link w:val="FooterChar"/>
    <w:uiPriority w:val="99"/>
    <w:semiHidden/>
    <w:unhideWhenUsed/>
    <w:rsid w:val="001C0A05"/>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1C0A05"/>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3</Pages>
  <Words>1254</Words>
  <Characters>7148</Characters>
  <Application>Microsoft Office Word</Application>
  <DocSecurity>0</DocSecurity>
  <Lines>59</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3</cp:revision>
  <dcterms:created xsi:type="dcterms:W3CDTF">2017-11-15T11:30:00Z</dcterms:created>
  <dcterms:modified xsi:type="dcterms:W3CDTF">2017-11-16T09:39:00Z</dcterms:modified>
</cp:coreProperties>
</file>